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A3CCE" w14:textId="7CCCA576" w:rsidR="009C3064" w:rsidRPr="007A395D" w:rsidRDefault="009C3064" w:rsidP="009C3064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paper: </w:t>
      </w:r>
      <w:r w:rsidRPr="007A395D">
        <w:rPr>
          <w:rStyle w:val="FootnoteReference"/>
          <w:rFonts w:ascii="Calibri" w:hAnsi="Calibri"/>
          <w:vertAlign w:val="superscript"/>
        </w:rPr>
        <w:footnoteReference w:id="1"/>
      </w:r>
      <w:r w:rsidRPr="007A395D">
        <w:rPr>
          <w:rFonts w:ascii="Calibri" w:hAnsi="Calibri"/>
        </w:rPr>
        <w:t xml:space="preserve">  </w:t>
      </w:r>
      <w:r w:rsidRPr="00374899">
        <w:rPr>
          <w:rFonts w:ascii="Calibri" w:hAnsi="Calibri"/>
        </w:rPr>
        <w:t>ARM</w:t>
      </w:r>
      <w:r w:rsidR="00892894" w:rsidRPr="00374899">
        <w:rPr>
          <w:rFonts w:ascii="Calibri" w:hAnsi="Calibri"/>
        </w:rPr>
        <w:t>9-11</w:t>
      </w:r>
      <w:r w:rsidR="00FC378A" w:rsidRPr="00374899">
        <w:rPr>
          <w:rFonts w:ascii="Calibri" w:hAnsi="Calibri"/>
        </w:rPr>
        <w:t>.</w:t>
      </w:r>
      <w:r w:rsidR="00374899" w:rsidRPr="00374899">
        <w:rPr>
          <w:rFonts w:ascii="Calibri" w:hAnsi="Calibri"/>
        </w:rPr>
        <w:t>9</w:t>
      </w:r>
      <w:bookmarkStart w:id="0" w:name="_GoBack"/>
      <w:bookmarkEnd w:id="0"/>
    </w:p>
    <w:p w14:paraId="6351850B" w14:textId="77777777" w:rsidR="00292013" w:rsidRDefault="00292013" w:rsidP="009C3064">
      <w:pPr>
        <w:pStyle w:val="BodyText"/>
      </w:pPr>
    </w:p>
    <w:p w14:paraId="31FF7460" w14:textId="271ECAA9" w:rsidR="009C3064" w:rsidRPr="007A395D" w:rsidRDefault="009C3064" w:rsidP="009C3064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3020601E" w14:textId="1531BA18" w:rsidR="009C3064" w:rsidRPr="007A395D" w:rsidRDefault="00B807CC" w:rsidP="009C3064">
      <w:pPr>
        <w:pStyle w:val="BodyText"/>
        <w:rPr>
          <w:b/>
        </w:rPr>
      </w:pPr>
      <w:proofErr w:type="gramStart"/>
      <w:r>
        <w:rPr>
          <w:b/>
        </w:rPr>
        <w:t>X</w:t>
      </w:r>
      <w:r w:rsidR="009C3064" w:rsidRPr="007A395D">
        <w:t xml:space="preserve">  ARM</w:t>
      </w:r>
      <w:proofErr w:type="gramEnd"/>
      <w:r w:rsidR="009C3064" w:rsidRPr="007A395D">
        <w:tab/>
      </w:r>
      <w:r w:rsidR="009C3064">
        <w:tab/>
      </w:r>
      <w:r w:rsidR="009C3064" w:rsidRPr="007A395D">
        <w:rPr>
          <w:b/>
        </w:rPr>
        <w:t>□</w:t>
      </w:r>
      <w:r w:rsidR="009C3064" w:rsidRPr="007A395D">
        <w:t xml:space="preserve">  ENG</w:t>
      </w:r>
      <w:r w:rsidR="009C3064" w:rsidRPr="007A395D">
        <w:tab/>
      </w:r>
      <w:r w:rsidR="009C3064" w:rsidRPr="007A395D">
        <w:tab/>
      </w:r>
      <w:r w:rsidR="009C3064" w:rsidRPr="007A395D">
        <w:rPr>
          <w:b/>
        </w:rPr>
        <w:t>□</w:t>
      </w:r>
      <w:r w:rsidR="009C3064" w:rsidRPr="007A395D">
        <w:t xml:space="preserve">  PAP</w:t>
      </w:r>
      <w:r w:rsidR="009C3064" w:rsidRPr="007A395D">
        <w:tab/>
      </w:r>
      <w:r w:rsidR="009C3064" w:rsidRPr="007A395D">
        <w:tab/>
      </w:r>
      <w:r w:rsidR="009C3064" w:rsidRPr="007A395D">
        <w:tab/>
      </w:r>
      <w:r w:rsidR="009C3064" w:rsidRPr="007A395D">
        <w:tab/>
      </w:r>
      <w:r w:rsidR="009C3064" w:rsidRPr="007A395D">
        <w:tab/>
      </w:r>
      <w:r w:rsidR="009C3064">
        <w:tab/>
      </w:r>
      <w:r w:rsidR="00892894" w:rsidRPr="007A395D">
        <w:rPr>
          <w:b/>
        </w:rPr>
        <w:t>□</w:t>
      </w:r>
      <w:r w:rsidR="009C3064" w:rsidRPr="007A395D">
        <w:t xml:space="preserve">  Input</w:t>
      </w:r>
    </w:p>
    <w:p w14:paraId="65143630" w14:textId="7A82A2E5" w:rsidR="009C3064" w:rsidRPr="007A395D" w:rsidRDefault="009C3064" w:rsidP="009C3064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>
        <w:tab/>
      </w:r>
      <w:r w:rsidR="00892894">
        <w:rPr>
          <w:b/>
        </w:rPr>
        <w:t>X</w:t>
      </w:r>
      <w:r w:rsidRPr="007A395D">
        <w:t xml:space="preserve">  Information</w:t>
      </w:r>
    </w:p>
    <w:p w14:paraId="65B2958C" w14:textId="19767252" w:rsidR="00892894" w:rsidRDefault="00892894" w:rsidP="009C3064">
      <w:pPr>
        <w:pStyle w:val="BodyText"/>
      </w:pPr>
    </w:p>
    <w:p w14:paraId="700C68D6" w14:textId="77777777" w:rsidR="00292013" w:rsidRDefault="00292013" w:rsidP="009C3064">
      <w:pPr>
        <w:pStyle w:val="BodyText"/>
      </w:pPr>
    </w:p>
    <w:p w14:paraId="014191FD" w14:textId="7836B45F" w:rsidR="009C3064" w:rsidRPr="007A395D" w:rsidRDefault="009C3064" w:rsidP="009C3064">
      <w:pPr>
        <w:pStyle w:val="BodyText"/>
      </w:pPr>
      <w:r w:rsidRPr="007A395D">
        <w:t xml:space="preserve">Agenda item </w:t>
      </w:r>
      <w:r w:rsidRPr="007A395D">
        <w:rPr>
          <w:rStyle w:val="FootnoteReference"/>
          <w:vertAlign w:val="superscript"/>
        </w:rPr>
        <w:footnoteReference w:id="2"/>
      </w:r>
      <w:r w:rsidRPr="007A395D">
        <w:tab/>
      </w:r>
      <w:r>
        <w:t>(from agenda)</w:t>
      </w:r>
      <w:r>
        <w:tab/>
      </w:r>
      <w:r w:rsidR="00FC378A">
        <w:tab/>
      </w:r>
      <w:r w:rsidR="00FC378A">
        <w:tab/>
      </w:r>
      <w:r w:rsidR="00892894">
        <w:t>11</w:t>
      </w:r>
    </w:p>
    <w:p w14:paraId="4B8A5866" w14:textId="676B0C42" w:rsidR="009C3064" w:rsidRDefault="009C3064" w:rsidP="009C3064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B807CC">
        <w:tab/>
      </w:r>
      <w:r w:rsidR="00B807CC">
        <w:tab/>
      </w:r>
      <w:r w:rsidRPr="007A395D">
        <w:t>…………………………………</w:t>
      </w:r>
    </w:p>
    <w:p w14:paraId="156E1175" w14:textId="15F152F6" w:rsidR="009C3064" w:rsidRPr="007A395D" w:rsidRDefault="009C3064" w:rsidP="009C3064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  <w:t xml:space="preserve">WG </w:t>
      </w:r>
      <w:r w:rsidR="00892894">
        <w:t>3</w:t>
      </w:r>
    </w:p>
    <w:p w14:paraId="3AA0709F" w14:textId="72369F77" w:rsidR="009C3064" w:rsidRPr="007A395D" w:rsidRDefault="009C3064" w:rsidP="009C3064">
      <w:pPr>
        <w:pStyle w:val="BodyText"/>
        <w:rPr>
          <w:color w:val="FF0000"/>
        </w:rPr>
      </w:pPr>
      <w:r w:rsidRPr="007A395D">
        <w:t>Author(s) / Submitter(s)</w:t>
      </w:r>
      <w:r w:rsidRPr="007A395D">
        <w:tab/>
      </w:r>
      <w:r w:rsidRPr="007A395D">
        <w:tab/>
      </w:r>
      <w:r w:rsidRPr="007A395D">
        <w:tab/>
      </w:r>
      <w:r>
        <w:tab/>
      </w:r>
      <w:r w:rsidR="00892894">
        <w:t>Omar Frits Eriksson</w:t>
      </w:r>
    </w:p>
    <w:p w14:paraId="71EACC20" w14:textId="77777777" w:rsidR="00892894" w:rsidRPr="007A395D" w:rsidRDefault="00892894" w:rsidP="009C3064">
      <w:pPr>
        <w:pStyle w:val="BodyText"/>
      </w:pPr>
    </w:p>
    <w:p w14:paraId="759B79CB" w14:textId="73A67E19" w:rsidR="009C3064" w:rsidRPr="00CC2DCC" w:rsidRDefault="00892894" w:rsidP="009C3064">
      <w:pPr>
        <w:pStyle w:val="Title"/>
        <w:rPr>
          <w:color w:val="00558C"/>
        </w:rPr>
      </w:pPr>
      <w:r>
        <w:rPr>
          <w:color w:val="00558C"/>
        </w:rPr>
        <w:t>O</w:t>
      </w:r>
      <w:r w:rsidR="004978B6">
        <w:rPr>
          <w:color w:val="00558C"/>
        </w:rPr>
        <w:t>PENRISK Guideline</w:t>
      </w:r>
    </w:p>
    <w:p w14:paraId="6CE9F208" w14:textId="67F28BB7" w:rsidR="00795569" w:rsidRDefault="00795569" w:rsidP="009A1DCF">
      <w:pPr>
        <w:pStyle w:val="Heading1"/>
        <w:ind w:left="357" w:hanging="357"/>
        <w:rPr>
          <w:b w:val="0"/>
        </w:rPr>
      </w:pPr>
      <w:r w:rsidRPr="00B64F35">
        <w:t>Introduction</w:t>
      </w:r>
    </w:p>
    <w:p w14:paraId="4AE94940" w14:textId="77777777" w:rsidR="00292013" w:rsidRDefault="004978B6" w:rsidP="00FD6C5B">
      <w:pPr>
        <w:jc w:val="both"/>
      </w:pPr>
      <w:r>
        <w:t xml:space="preserve">The </w:t>
      </w:r>
      <w:r w:rsidR="00F20194">
        <w:t xml:space="preserve">OPENRISK project </w:t>
      </w:r>
      <w:r w:rsidR="0033644D">
        <w:t>(</w:t>
      </w:r>
      <w:hyperlink r:id="rId7" w:history="1">
        <w:r w:rsidR="0033644D" w:rsidRPr="00391B87">
          <w:rPr>
            <w:rStyle w:val="Hyperlink"/>
          </w:rPr>
          <w:t>https://openrisk-ppr.org</w:t>
        </w:r>
      </w:hyperlink>
      <w:r w:rsidR="0033644D">
        <w:t xml:space="preserve">) </w:t>
      </w:r>
      <w:r w:rsidR="00F20194">
        <w:t>has now completed its work on the first steps of developing a joint and fully open method toolbox for risk assessment of spills resulting from maritime accidents.</w:t>
      </w:r>
      <w:r w:rsidR="0033644D">
        <w:t xml:space="preserve"> </w:t>
      </w:r>
    </w:p>
    <w:p w14:paraId="4D4E3C86" w14:textId="4AFFED99" w:rsidR="00292013" w:rsidRDefault="0033644D" w:rsidP="00FD6C5B">
      <w:pPr>
        <w:jc w:val="both"/>
      </w:pPr>
      <w:r>
        <w:t xml:space="preserve">One of the project outcomes is a publication titled: </w:t>
      </w:r>
      <w:r w:rsidR="004978B6" w:rsidRPr="0033644D">
        <w:rPr>
          <w:i/>
        </w:rPr>
        <w:t>“</w:t>
      </w:r>
      <w:proofErr w:type="spellStart"/>
      <w:r w:rsidR="004978B6" w:rsidRPr="0033644D">
        <w:rPr>
          <w:i/>
        </w:rPr>
        <w:t>OpenRisk</w:t>
      </w:r>
      <w:proofErr w:type="spellEnd"/>
      <w:r w:rsidR="004978B6" w:rsidRPr="0033644D">
        <w:rPr>
          <w:i/>
        </w:rPr>
        <w:t xml:space="preserve"> Guideline for Regional Risk Management to Improve European Pollution Preparedness and Response at Sea”</w:t>
      </w:r>
      <w:r>
        <w:rPr>
          <w:i/>
        </w:rPr>
        <w:t xml:space="preserve"> </w:t>
      </w:r>
      <w:r w:rsidRPr="0033644D">
        <w:t>(input paper ARM8</w:t>
      </w:r>
      <w:r>
        <w:noBreakHyphen/>
      </w:r>
      <w:r w:rsidRPr="0033644D">
        <w:t>11.</w:t>
      </w:r>
      <w:r w:rsidR="00054D2F">
        <w:rPr>
          <w:highlight w:val="yellow"/>
        </w:rPr>
        <w:t>2</w:t>
      </w:r>
      <w:r w:rsidRPr="0033644D">
        <w:t>).</w:t>
      </w:r>
      <w:r w:rsidR="00FD6C5B">
        <w:t xml:space="preserve"> </w:t>
      </w:r>
    </w:p>
    <w:p w14:paraId="0A9F738E" w14:textId="72AC0BD1" w:rsidR="0033644D" w:rsidRDefault="0033644D" w:rsidP="00FD6C5B">
      <w:pPr>
        <w:jc w:val="both"/>
      </w:pPr>
      <w:r>
        <w:t xml:space="preserve">The project identified some shortcomings </w:t>
      </w:r>
      <w:r w:rsidR="004978B6">
        <w:t>in the existing practices in risk-informed decision making</w:t>
      </w:r>
      <w:r w:rsidR="00FD6C5B">
        <w:t xml:space="preserve"> and addressed these </w:t>
      </w:r>
      <w:r w:rsidR="004978B6">
        <w:t>by focusing</w:t>
      </w:r>
      <w:r>
        <w:t xml:space="preserve"> </w:t>
      </w:r>
      <w:r w:rsidR="004978B6">
        <w:t xml:space="preserve">on two aspects of effective risk management: </w:t>
      </w:r>
    </w:p>
    <w:p w14:paraId="78C65A1C" w14:textId="77777777" w:rsidR="0033644D" w:rsidRDefault="004978B6" w:rsidP="00883D08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providing guidelines</w:t>
      </w:r>
      <w:r w:rsidR="0033644D">
        <w:t xml:space="preserve"> </w:t>
      </w:r>
      <w:r>
        <w:t>for implementing regional risk management for pollution</w:t>
      </w:r>
      <w:r w:rsidR="0033644D">
        <w:t xml:space="preserve"> </w:t>
      </w:r>
      <w:r>
        <w:t xml:space="preserve">preparedness and response authorities, and </w:t>
      </w:r>
    </w:p>
    <w:p w14:paraId="33A4064A" w14:textId="6BC17C31" w:rsidR="004978B6" w:rsidRDefault="004978B6" w:rsidP="00883D08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providing a set of</w:t>
      </w:r>
      <w:r w:rsidR="0033644D">
        <w:t xml:space="preserve"> </w:t>
      </w:r>
      <w:r>
        <w:t>open-access risk analysis tools to facilitate transparency and comparability</w:t>
      </w:r>
      <w:r w:rsidR="0033644D">
        <w:t xml:space="preserve"> </w:t>
      </w:r>
      <w:r>
        <w:t>of risk assessment results.</w:t>
      </w:r>
    </w:p>
    <w:p w14:paraId="12F26F14" w14:textId="77777777" w:rsidR="004978B6" w:rsidRDefault="004978B6" w:rsidP="004978B6">
      <w:pPr>
        <w:spacing w:after="0" w:line="240" w:lineRule="auto"/>
        <w:jc w:val="both"/>
      </w:pPr>
    </w:p>
    <w:p w14:paraId="6DC1772A" w14:textId="153E5A12" w:rsidR="00292013" w:rsidRDefault="00FD6C5B" w:rsidP="00292013">
      <w:pPr>
        <w:jc w:val="both"/>
      </w:pPr>
      <w:r>
        <w:t>The Guideline describes</w:t>
      </w:r>
      <w:r w:rsidR="004978B6">
        <w:t xml:space="preserve"> regional pollution</w:t>
      </w:r>
      <w:r>
        <w:t xml:space="preserve"> </w:t>
      </w:r>
      <w:r w:rsidR="004978B6">
        <w:t xml:space="preserve">preparedness and response risk management </w:t>
      </w:r>
      <w:r>
        <w:t>in the Baltic Sea region</w:t>
      </w:r>
      <w:r w:rsidR="004978B6">
        <w:t>,</w:t>
      </w:r>
      <w:r>
        <w:t xml:space="preserve"> </w:t>
      </w:r>
      <w:r w:rsidR="004978B6">
        <w:t xml:space="preserve">based on the widely applied ISO 31000:2018 standard. </w:t>
      </w:r>
    </w:p>
    <w:p w14:paraId="500ECA9D" w14:textId="2A1419BF" w:rsidR="00292013" w:rsidRDefault="00FD6C5B" w:rsidP="00292013">
      <w:pPr>
        <w:jc w:val="both"/>
      </w:pPr>
      <w:r>
        <w:t>A</w:t>
      </w:r>
      <w:r w:rsidR="004978B6">
        <w:t xml:space="preserve"> set of linked risk management</w:t>
      </w:r>
      <w:r>
        <w:t xml:space="preserve"> </w:t>
      </w:r>
      <w:r w:rsidR="004978B6">
        <w:t xml:space="preserve">processes applicable to </w:t>
      </w:r>
      <w:r>
        <w:t>different co</w:t>
      </w:r>
      <w:r w:rsidR="004978B6">
        <w:t>ntexts</w:t>
      </w:r>
      <w:r>
        <w:t xml:space="preserve"> are defined, aimed at providing </w:t>
      </w:r>
      <w:r w:rsidR="004978B6">
        <w:t>guidelines for establishing decision</w:t>
      </w:r>
      <w:r>
        <w:t xml:space="preserve"> </w:t>
      </w:r>
      <w:r w:rsidR="004978B6">
        <w:t xml:space="preserve">making processes within and between </w:t>
      </w:r>
      <w:r>
        <w:t xml:space="preserve">different </w:t>
      </w:r>
      <w:r w:rsidR="004978B6">
        <w:t xml:space="preserve">authorities. </w:t>
      </w:r>
    </w:p>
    <w:p w14:paraId="641AD321" w14:textId="77777777" w:rsidR="00060316" w:rsidRDefault="00FD6C5B" w:rsidP="00292013">
      <w:pPr>
        <w:jc w:val="both"/>
      </w:pPr>
      <w:r>
        <w:t>Then a</w:t>
      </w:r>
      <w:r w:rsidR="004978B6">
        <w:t xml:space="preserve"> set of existing and newly developed risk analysis</w:t>
      </w:r>
      <w:r>
        <w:t xml:space="preserve"> </w:t>
      </w:r>
      <w:r w:rsidR="00B53818">
        <w:t>methodologies</w:t>
      </w:r>
      <w:r w:rsidR="004978B6">
        <w:t xml:space="preserve"> are described, which are </w:t>
      </w:r>
      <w:r w:rsidR="00DC0502">
        <w:t>(</w:t>
      </w:r>
      <w:r w:rsidR="00292013">
        <w:t>more or less</w:t>
      </w:r>
      <w:r w:rsidR="00DC0502">
        <w:t>)</w:t>
      </w:r>
      <w:r w:rsidR="00292013">
        <w:t xml:space="preserve"> </w:t>
      </w:r>
      <w:r w:rsidR="004978B6">
        <w:t>openly availabl</w:t>
      </w:r>
      <w:r w:rsidR="00292013">
        <w:t xml:space="preserve">e. </w:t>
      </w:r>
    </w:p>
    <w:p w14:paraId="2BE97EE5" w14:textId="6AA8ADA7" w:rsidR="00292013" w:rsidRDefault="00292013" w:rsidP="00292013">
      <w:pPr>
        <w:jc w:val="both"/>
      </w:pPr>
      <w:r>
        <w:lastRenderedPageBreak/>
        <w:t xml:space="preserve">The following </w:t>
      </w:r>
      <w:r w:rsidR="00B53818">
        <w:t>methodologies</w:t>
      </w:r>
      <w:r>
        <w:t xml:space="preserve"> are </w:t>
      </w:r>
      <w:r w:rsidR="00B53818">
        <w:t>described in the Guideline and</w:t>
      </w:r>
      <w:r w:rsidR="00DC0502">
        <w:t xml:space="preserve"> are</w:t>
      </w:r>
      <w:r w:rsidR="00B53818">
        <w:t xml:space="preserve"> </w:t>
      </w:r>
      <w:r>
        <w:t>included in the OPENRISK toolbox:</w:t>
      </w:r>
    </w:p>
    <w:p w14:paraId="50ED2CB7" w14:textId="3D079153" w:rsidR="00FD6C5B" w:rsidRPr="00FD6C5B" w:rsidRDefault="00FD6C5B" w:rsidP="00FD6C5B">
      <w:pPr>
        <w:pStyle w:val="ListParagraph"/>
        <w:numPr>
          <w:ilvl w:val="0"/>
          <w:numId w:val="5"/>
        </w:numPr>
        <w:jc w:val="both"/>
        <w:rPr>
          <w:lang w:val="da-DK"/>
        </w:rPr>
      </w:pPr>
      <w:r w:rsidRPr="00FD6C5B">
        <w:rPr>
          <w:lang w:val="da-DK"/>
        </w:rPr>
        <w:t>AISyRisk</w:t>
      </w:r>
    </w:p>
    <w:p w14:paraId="35D936A2" w14:textId="51AFE6C3" w:rsidR="00FD6C5B" w:rsidRPr="00FD6C5B" w:rsidRDefault="00FD6C5B" w:rsidP="00FD6C5B">
      <w:pPr>
        <w:pStyle w:val="ListParagraph"/>
        <w:numPr>
          <w:ilvl w:val="0"/>
          <w:numId w:val="5"/>
        </w:numPr>
        <w:jc w:val="both"/>
        <w:rPr>
          <w:lang w:val="da-DK"/>
        </w:rPr>
      </w:pPr>
      <w:r w:rsidRPr="00FD6C5B">
        <w:rPr>
          <w:lang w:val="da-DK"/>
        </w:rPr>
        <w:t>MarinRisk</w:t>
      </w:r>
    </w:p>
    <w:p w14:paraId="6911A9A2" w14:textId="4EA1E6CB" w:rsidR="00FD6C5B" w:rsidRPr="00FD6C5B" w:rsidRDefault="00FD6C5B" w:rsidP="00FD6C5B">
      <w:pPr>
        <w:pStyle w:val="ListParagraph"/>
        <w:numPr>
          <w:ilvl w:val="0"/>
          <w:numId w:val="5"/>
        </w:numPr>
        <w:jc w:val="both"/>
        <w:rPr>
          <w:lang w:val="da-DK"/>
        </w:rPr>
      </w:pPr>
      <w:r w:rsidRPr="00FD6C5B">
        <w:rPr>
          <w:lang w:val="da-DK"/>
        </w:rPr>
        <w:t>Delphi</w:t>
      </w:r>
    </w:p>
    <w:p w14:paraId="65A5A250" w14:textId="08A72F18" w:rsidR="00FD6C5B" w:rsidRPr="00FD6C5B" w:rsidRDefault="00FD6C5B" w:rsidP="00FD6C5B">
      <w:pPr>
        <w:pStyle w:val="ListParagraph"/>
        <w:numPr>
          <w:ilvl w:val="0"/>
          <w:numId w:val="5"/>
        </w:numPr>
        <w:jc w:val="both"/>
        <w:rPr>
          <w:lang w:val="da-DK"/>
        </w:rPr>
      </w:pPr>
      <w:r w:rsidRPr="00FD6C5B">
        <w:rPr>
          <w:lang w:val="da-DK"/>
        </w:rPr>
        <w:t>RiskData Hub</w:t>
      </w:r>
    </w:p>
    <w:p w14:paraId="1E50B793" w14:textId="2397B73F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IALA Waterway Risk Assessment Programme</w:t>
      </w:r>
      <w:r w:rsidR="00292013">
        <w:t xml:space="preserve"> (IWRAP Mk2)</w:t>
      </w:r>
    </w:p>
    <w:p w14:paraId="199F3415" w14:textId="4C3516BA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Ports and Waterways Safety Assessment</w:t>
      </w:r>
      <w:r w:rsidR="00292013">
        <w:t xml:space="preserve"> (PAWSA Mk2)</w:t>
      </w:r>
    </w:p>
    <w:p w14:paraId="0B9DCD84" w14:textId="0B28A434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Maritime Event Risk Classification Method</w:t>
      </w:r>
    </w:p>
    <w:p w14:paraId="3FE20A29" w14:textId="1D926C9F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Accidental Damage and Spill Assessment Model for Collision and Grounding</w:t>
      </w:r>
    </w:p>
    <w:p w14:paraId="5DAC8C20" w14:textId="12FE096C" w:rsidR="00FD6C5B" w:rsidRDefault="00FD6C5B" w:rsidP="00FD6C5B">
      <w:pPr>
        <w:pStyle w:val="ListParagraph"/>
        <w:numPr>
          <w:ilvl w:val="0"/>
          <w:numId w:val="5"/>
        </w:numPr>
        <w:jc w:val="both"/>
      </w:pPr>
      <w:proofErr w:type="spellStart"/>
      <w:r>
        <w:t>SeaTrack</w:t>
      </w:r>
      <w:proofErr w:type="spellEnd"/>
      <w:r>
        <w:t xml:space="preserve"> Web</w:t>
      </w:r>
    </w:p>
    <w:p w14:paraId="3F88A189" w14:textId="72D636F0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 xml:space="preserve">Next Generation </w:t>
      </w:r>
      <w:proofErr w:type="spellStart"/>
      <w:r>
        <w:t>SmartResponse</w:t>
      </w:r>
      <w:proofErr w:type="spellEnd"/>
      <w:r>
        <w:t xml:space="preserve"> Web</w:t>
      </w:r>
    </w:p>
    <w:p w14:paraId="77A9CC8C" w14:textId="32EA17E3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Response System Planning Calculators</w:t>
      </w:r>
    </w:p>
    <w:p w14:paraId="48191783" w14:textId="30BCFE36" w:rsidR="00FD6C5B" w:rsidRDefault="00FD6C5B" w:rsidP="00FD6C5B">
      <w:pPr>
        <w:pStyle w:val="ListParagraph"/>
        <w:numPr>
          <w:ilvl w:val="0"/>
          <w:numId w:val="5"/>
        </w:numPr>
        <w:jc w:val="both"/>
      </w:pPr>
      <w:proofErr w:type="spellStart"/>
      <w:r>
        <w:t>BowTie</w:t>
      </w:r>
      <w:proofErr w:type="spellEnd"/>
      <w:r>
        <w:t xml:space="preserve"> Method</w:t>
      </w:r>
    </w:p>
    <w:p w14:paraId="31F5CA7D" w14:textId="77777777" w:rsidR="00292013" w:rsidRDefault="00FD6C5B" w:rsidP="00094965">
      <w:pPr>
        <w:pStyle w:val="ListParagraph"/>
        <w:numPr>
          <w:ilvl w:val="0"/>
          <w:numId w:val="5"/>
        </w:numPr>
        <w:jc w:val="both"/>
      </w:pPr>
      <w:r>
        <w:t>Functional Resonance Analysis Method</w:t>
      </w:r>
    </w:p>
    <w:p w14:paraId="1227D3A7" w14:textId="20D46978" w:rsidR="00FD6C5B" w:rsidRDefault="00FD6C5B" w:rsidP="00094965">
      <w:pPr>
        <w:pStyle w:val="ListParagraph"/>
        <w:numPr>
          <w:ilvl w:val="0"/>
          <w:numId w:val="5"/>
        </w:numPr>
        <w:jc w:val="both"/>
      </w:pPr>
      <w:r>
        <w:t>Key Performance Indicators</w:t>
      </w:r>
    </w:p>
    <w:p w14:paraId="1CEF7A06" w14:textId="163A6CB2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Spatial Bayesian Oil Spill Risk Tool</w:t>
      </w:r>
    </w:p>
    <w:p w14:paraId="2A28EF2E" w14:textId="5B36A676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Integrated Strategic Risk Analysis Methods</w:t>
      </w:r>
    </w:p>
    <w:p w14:paraId="7F6C779F" w14:textId="17152166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Strength of Evidence Assessment Schemes</w:t>
      </w:r>
    </w:p>
    <w:p w14:paraId="7F360CA3" w14:textId="3308A0A5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Risk Matrices and Probability-Consequence Diagrams</w:t>
      </w:r>
    </w:p>
    <w:p w14:paraId="578FCF69" w14:textId="4F0137EA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As Low as Reasonably Practicable Principle</w:t>
      </w:r>
    </w:p>
    <w:p w14:paraId="6F5076E7" w14:textId="24FC1E4E" w:rsidR="00FD6C5B" w:rsidRDefault="00FD6C5B" w:rsidP="00FD6C5B">
      <w:pPr>
        <w:pStyle w:val="ListParagraph"/>
        <w:numPr>
          <w:ilvl w:val="0"/>
          <w:numId w:val="5"/>
        </w:numPr>
        <w:jc w:val="both"/>
      </w:pPr>
      <w:r>
        <w:t>Cost-Benefit Analysis</w:t>
      </w:r>
    </w:p>
    <w:p w14:paraId="772349F5" w14:textId="46EA55B5" w:rsidR="00292013" w:rsidRDefault="00F53E65" w:rsidP="00292013">
      <w:pPr>
        <w:jc w:val="both"/>
      </w:pPr>
      <w:r>
        <w:t>The guideline provides a</w:t>
      </w:r>
      <w:r w:rsidR="00DC0502">
        <w:t>n overview and</w:t>
      </w:r>
      <w:r>
        <w:t xml:space="preserve"> comparison of the</w:t>
      </w:r>
      <w:r w:rsidR="00A66030">
        <w:t>se</w:t>
      </w:r>
      <w:r>
        <w:t xml:space="preserve"> </w:t>
      </w:r>
      <w:r w:rsidR="00A66030">
        <w:t>methodologies</w:t>
      </w:r>
      <w:r>
        <w:t xml:space="preserve"> in terms of their complexity, resources </w:t>
      </w:r>
      <w:r w:rsidR="00A66030">
        <w:t xml:space="preserve">and skills </w:t>
      </w:r>
      <w:r>
        <w:t>needed to apply them and their a</w:t>
      </w:r>
      <w:r w:rsidR="00292013" w:rsidRPr="00292013">
        <w:t xml:space="preserve">pplicability for different </w:t>
      </w:r>
      <w:r>
        <w:t xml:space="preserve">parts of the risk </w:t>
      </w:r>
      <w:r w:rsidR="00292013" w:rsidRPr="00292013">
        <w:t>management processes</w:t>
      </w:r>
      <w:r>
        <w:t>.</w:t>
      </w:r>
    </w:p>
    <w:p w14:paraId="78F507F2" w14:textId="5677640B" w:rsidR="00292013" w:rsidRDefault="00292013" w:rsidP="00292013">
      <w:pPr>
        <w:pStyle w:val="Heading1"/>
        <w:jc w:val="both"/>
      </w:pPr>
      <w:r>
        <w:t>Facts about the OPENRISK project</w:t>
      </w:r>
    </w:p>
    <w:p w14:paraId="6B3ECCCB" w14:textId="19AAA605" w:rsidR="00292013" w:rsidRDefault="00292013" w:rsidP="00292013">
      <w:pPr>
        <w:jc w:val="both"/>
      </w:pPr>
      <w:r>
        <w:t xml:space="preserve">The project was co-financed by the EU – Civil Protection Financial Instrument as project 2016/PREV/26, with a budget of 0,5 M€ over two years (2017-18). The Lead Partner HELCOM (www.helcom.fi) is an intergovernmental organization made up of the nine Baltic Sea coastal countries and the European Union. </w:t>
      </w:r>
      <w:r w:rsidR="00DC0502">
        <w:t>HELCOM</w:t>
      </w:r>
      <w:r>
        <w:t xml:space="preserve"> aim</w:t>
      </w:r>
      <w:r w:rsidR="00DC0502">
        <w:t>s</w:t>
      </w:r>
      <w:r>
        <w:t xml:space="preserve"> </w:t>
      </w:r>
      <w:r w:rsidR="00DC0502">
        <w:t>at protecting</w:t>
      </w:r>
      <w:r>
        <w:t xml:space="preserve"> the marine environment of the Baltic Sea from all sources of pollution -including spills from maritime accidents. Other partners</w:t>
      </w:r>
      <w:r w:rsidR="00DC0502">
        <w:t>/beneficiaries</w:t>
      </w:r>
      <w:r>
        <w:t xml:space="preserve"> of the project were the  World Maritime University-WMU (</w:t>
      </w:r>
      <w:hyperlink r:id="rId8" w:history="1">
        <w:r w:rsidRPr="00391B87">
          <w:rPr>
            <w:rStyle w:val="Hyperlink"/>
          </w:rPr>
          <w:t>www.wmu.se</w:t>
        </w:r>
      </w:hyperlink>
      <w:r>
        <w:t>), Marin (</w:t>
      </w:r>
      <w:hyperlink r:id="rId9" w:history="1">
        <w:r w:rsidRPr="00391B87">
          <w:rPr>
            <w:rStyle w:val="Hyperlink"/>
          </w:rPr>
          <w:t>www.marin.nl</w:t>
        </w:r>
      </w:hyperlink>
      <w:r>
        <w:t>) and the Finnish Environmental Institute/SYKE (</w:t>
      </w:r>
      <w:hyperlink r:id="rId10" w:history="1">
        <w:r w:rsidRPr="00391B87">
          <w:rPr>
            <w:rStyle w:val="Hyperlink"/>
          </w:rPr>
          <w:t>www.syke.fi</w:t>
        </w:r>
      </w:hyperlink>
      <w:r>
        <w:t xml:space="preserve">). The project was also supported by the BONN Agreement (North Sea), the Copenhagen Agreement (Nordic seas), REMPEC (Mediterranean), </w:t>
      </w:r>
      <w:r w:rsidR="00DC0502">
        <w:t xml:space="preserve">the </w:t>
      </w:r>
      <w:r>
        <w:t>Norwegian Coastal Administration</w:t>
      </w:r>
      <w:r w:rsidR="00DC0502">
        <w:t xml:space="preserve"> and the IALA secretariat</w:t>
      </w:r>
      <w:r w:rsidR="00060316">
        <w:t>,</w:t>
      </w:r>
      <w:r w:rsidR="00DC0502">
        <w:t xml:space="preserve"> which provided details of the IALA Risk Management Toolbox</w:t>
      </w:r>
      <w:r>
        <w:t>.</w:t>
      </w:r>
    </w:p>
    <w:p w14:paraId="6F99BA8B" w14:textId="77777777" w:rsidR="009A1DCF" w:rsidRDefault="009A1DCF" w:rsidP="00A80BBA">
      <w:pPr>
        <w:pStyle w:val="Heading1"/>
        <w:ind w:left="357" w:hanging="357"/>
      </w:pPr>
      <w:r>
        <w:t>Action requested</w:t>
      </w:r>
    </w:p>
    <w:p w14:paraId="318CF325" w14:textId="72F78DFF" w:rsidR="009A1DCF" w:rsidRDefault="009A1DCF" w:rsidP="009A1DCF">
      <w:pPr>
        <w:pStyle w:val="BodyText"/>
      </w:pPr>
      <w:r>
        <w:t>The ARM Committee is</w:t>
      </w:r>
      <w:r w:rsidR="00292013">
        <w:t xml:space="preserve"> invited to</w:t>
      </w:r>
      <w:r>
        <w:t xml:space="preserve"> </w:t>
      </w:r>
      <w:r w:rsidR="004978B6">
        <w:t>note th</w:t>
      </w:r>
      <w:r w:rsidR="00292013">
        <w:t>is</w:t>
      </w:r>
      <w:r w:rsidR="004978B6">
        <w:t xml:space="preserve"> information and u</w:t>
      </w:r>
      <w:r w:rsidR="00292013">
        <w:t xml:space="preserve">tilise </w:t>
      </w:r>
      <w:r w:rsidR="004978B6">
        <w:t>as found practicable.</w:t>
      </w:r>
    </w:p>
    <w:p w14:paraId="615689FB" w14:textId="4676A2E6" w:rsidR="00194367" w:rsidRDefault="00194367" w:rsidP="00194367">
      <w:pPr>
        <w:spacing w:after="0" w:line="240" w:lineRule="auto"/>
      </w:pPr>
    </w:p>
    <w:p w14:paraId="3111D80E" w14:textId="4A3F3A46" w:rsidR="00892894" w:rsidRDefault="00892894" w:rsidP="00194367">
      <w:pPr>
        <w:spacing w:after="0" w:line="240" w:lineRule="auto"/>
        <w:rPr>
          <w:i/>
        </w:rPr>
      </w:pPr>
      <w:r w:rsidRPr="00892894">
        <w:rPr>
          <w:i/>
        </w:rPr>
        <w:t>Omar Frits Eriksson</w:t>
      </w:r>
    </w:p>
    <w:p w14:paraId="76AB6EF6" w14:textId="3243A4EE" w:rsidR="00292013" w:rsidRPr="00892894" w:rsidRDefault="00292013" w:rsidP="00194367">
      <w:pPr>
        <w:spacing w:after="0" w:line="240" w:lineRule="auto"/>
        <w:rPr>
          <w:i/>
        </w:rPr>
      </w:pPr>
      <w:r>
        <w:rPr>
          <w:i/>
        </w:rPr>
        <w:t>09. November 2018</w:t>
      </w:r>
    </w:p>
    <w:sectPr w:rsidR="00292013" w:rsidRPr="00892894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3B021" w14:textId="77777777" w:rsidR="0056489B" w:rsidRDefault="0056489B" w:rsidP="00795569">
      <w:pPr>
        <w:spacing w:after="0" w:line="240" w:lineRule="auto"/>
      </w:pPr>
      <w:r>
        <w:separator/>
      </w:r>
    </w:p>
  </w:endnote>
  <w:endnote w:type="continuationSeparator" w:id="0">
    <w:p w14:paraId="0DF78ADD" w14:textId="77777777" w:rsidR="0056489B" w:rsidRDefault="0056489B" w:rsidP="0079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8E48D" w14:textId="77777777" w:rsidR="0056489B" w:rsidRDefault="0056489B" w:rsidP="00795569">
      <w:pPr>
        <w:spacing w:after="0" w:line="240" w:lineRule="auto"/>
      </w:pPr>
      <w:r>
        <w:separator/>
      </w:r>
    </w:p>
  </w:footnote>
  <w:footnote w:type="continuationSeparator" w:id="0">
    <w:p w14:paraId="49EA21D6" w14:textId="77777777" w:rsidR="0056489B" w:rsidRDefault="0056489B" w:rsidP="00795569">
      <w:pPr>
        <w:spacing w:after="0" w:line="240" w:lineRule="auto"/>
      </w:pPr>
      <w:r>
        <w:continuationSeparator/>
      </w:r>
    </w:p>
  </w:footnote>
  <w:footnote w:id="1">
    <w:p w14:paraId="689C552F" w14:textId="77777777" w:rsidR="009C3064" w:rsidRPr="007055E4" w:rsidRDefault="009C3064" w:rsidP="009C3064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507CD067" w14:textId="77777777" w:rsidR="009C3064" w:rsidRPr="00037DF4" w:rsidRDefault="009C3064" w:rsidP="009C306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A5E1" w14:textId="6F61EF0F" w:rsidR="004A18CB" w:rsidRDefault="00374899">
    <w:pPr>
      <w:pStyle w:val="Header"/>
    </w:pPr>
    <w:r>
      <w:rPr>
        <w:noProof/>
      </w:rPr>
      <w:pict w14:anchorId="69DA1B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6" o:spid="_x0000_s2050" type="#_x0000_t136" style="position:absolute;margin-left:0;margin-top:0;width:565.55pt;height:70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62DC5" w14:textId="41402955" w:rsidR="009C3064" w:rsidRDefault="00374899">
    <w:pPr>
      <w:pStyle w:val="Header"/>
    </w:pPr>
    <w:r>
      <w:rPr>
        <w:noProof/>
      </w:rPr>
      <w:pict w14:anchorId="423333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7" o:spid="_x0000_s2051" type="#_x0000_t136" style="position:absolute;margin-left:0;margin-top:0;width:565.55pt;height:70.6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  <w:r w:rsidR="009C3064">
      <w:rPr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136DAB16" wp14:editId="564018EF">
          <wp:simplePos x="0" y="0"/>
          <wp:positionH relativeFrom="column">
            <wp:posOffset>2490470</wp:posOffset>
          </wp:positionH>
          <wp:positionV relativeFrom="paragraph">
            <wp:posOffset>-236220</wp:posOffset>
          </wp:positionV>
          <wp:extent cx="852170" cy="83058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96C4FE" w14:textId="77777777" w:rsidR="009C3064" w:rsidRDefault="009C3064">
    <w:pPr>
      <w:pStyle w:val="Header"/>
    </w:pPr>
  </w:p>
  <w:p w14:paraId="29C20BBC" w14:textId="77777777" w:rsidR="009C3064" w:rsidRDefault="009C3064">
    <w:pPr>
      <w:pStyle w:val="Header"/>
    </w:pPr>
  </w:p>
  <w:p w14:paraId="6E7BC013" w14:textId="52088438" w:rsidR="009C3064" w:rsidRDefault="009C30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8C3F0" w14:textId="74A1BCE5" w:rsidR="004A18CB" w:rsidRDefault="00374899">
    <w:pPr>
      <w:pStyle w:val="Header"/>
    </w:pPr>
    <w:r>
      <w:rPr>
        <w:noProof/>
      </w:rPr>
      <w:pict w14:anchorId="5678D5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5" o:spid="_x0000_s2049" type="#_x0000_t136" style="position:absolute;margin-left:0;margin-top:0;width:565.55pt;height:70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92FA9"/>
    <w:multiLevelType w:val="hybridMultilevel"/>
    <w:tmpl w:val="D14CED8C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EA7"/>
    <w:multiLevelType w:val="hybridMultilevel"/>
    <w:tmpl w:val="EE607B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95473"/>
    <w:multiLevelType w:val="hybridMultilevel"/>
    <w:tmpl w:val="0C06A7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C5DFD"/>
    <w:multiLevelType w:val="hybridMultilevel"/>
    <w:tmpl w:val="16C02530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B5A2D"/>
    <w:multiLevelType w:val="hybridMultilevel"/>
    <w:tmpl w:val="906ACBFA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569"/>
    <w:rsid w:val="00054D2F"/>
    <w:rsid w:val="00060316"/>
    <w:rsid w:val="00194367"/>
    <w:rsid w:val="001B53A1"/>
    <w:rsid w:val="0024413F"/>
    <w:rsid w:val="00292013"/>
    <w:rsid w:val="0033082E"/>
    <w:rsid w:val="0033644D"/>
    <w:rsid w:val="00362D39"/>
    <w:rsid w:val="00374899"/>
    <w:rsid w:val="003B4FA6"/>
    <w:rsid w:val="004978B6"/>
    <w:rsid w:val="004A18CB"/>
    <w:rsid w:val="0056489B"/>
    <w:rsid w:val="00670F72"/>
    <w:rsid w:val="006A408F"/>
    <w:rsid w:val="006F0EF7"/>
    <w:rsid w:val="00795569"/>
    <w:rsid w:val="007E36B9"/>
    <w:rsid w:val="00801793"/>
    <w:rsid w:val="00892894"/>
    <w:rsid w:val="009A1DCF"/>
    <w:rsid w:val="009C3064"/>
    <w:rsid w:val="00A304D5"/>
    <w:rsid w:val="00A66030"/>
    <w:rsid w:val="00A80BBA"/>
    <w:rsid w:val="00AA5283"/>
    <w:rsid w:val="00AA7AA6"/>
    <w:rsid w:val="00AC3C2A"/>
    <w:rsid w:val="00B34958"/>
    <w:rsid w:val="00B53818"/>
    <w:rsid w:val="00B64F35"/>
    <w:rsid w:val="00B807CC"/>
    <w:rsid w:val="00CB1668"/>
    <w:rsid w:val="00D5540B"/>
    <w:rsid w:val="00DC0502"/>
    <w:rsid w:val="00F20194"/>
    <w:rsid w:val="00F53E65"/>
    <w:rsid w:val="00FC378A"/>
    <w:rsid w:val="00F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DAEF5E9"/>
  <w15:chartTrackingRefBased/>
  <w15:docId w15:val="{3AD084BE-8A4A-41D4-ADAB-2822AAE4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9A1DCF"/>
    <w:pPr>
      <w:keepNext/>
      <w:spacing w:before="240" w:after="240" w:line="240" w:lineRule="auto"/>
      <w:outlineLvl w:val="0"/>
    </w:pPr>
    <w:rPr>
      <w:rFonts w:ascii="Calibri" w:eastAsia="Calibri" w:hAnsi="Calibri" w:cs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D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Web"/>
    <w:next w:val="Normal"/>
    <w:link w:val="TableChar"/>
    <w:qFormat/>
    <w:rsid w:val="00D5540B"/>
    <w:pPr>
      <w:spacing w:after="0" w:line="240" w:lineRule="auto"/>
      <w:jc w:val="center"/>
    </w:pPr>
    <w:rPr>
      <w:rFonts w:eastAsia="Times New Roman"/>
      <w:b/>
      <w:i/>
      <w:lang w:eastAsia="en-GB"/>
    </w:rPr>
  </w:style>
  <w:style w:type="character" w:customStyle="1" w:styleId="TableChar">
    <w:name w:val="Table Char"/>
    <w:basedOn w:val="DefaultParagraphFont"/>
    <w:link w:val="Table"/>
    <w:rsid w:val="00D5540B"/>
    <w:rPr>
      <w:rFonts w:ascii="Times New Roman" w:eastAsia="Times New Roman" w:hAnsi="Times New Roman" w:cs="Times New Roman"/>
      <w:b/>
      <w:i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5540B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_#"/>
    <w:basedOn w:val="Normal"/>
    <w:next w:val="Normal"/>
    <w:autoRedefine/>
    <w:qFormat/>
    <w:rsid w:val="00AA7AA6"/>
    <w:pPr>
      <w:spacing w:before="120" w:after="120" w:line="240" w:lineRule="auto"/>
      <w:jc w:val="center"/>
    </w:pPr>
    <w:rPr>
      <w:rFonts w:eastAsia="Calibri" w:cs="Calibri"/>
      <w:i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7955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5569"/>
  </w:style>
  <w:style w:type="paragraph" w:styleId="Footer">
    <w:name w:val="footer"/>
    <w:basedOn w:val="Normal"/>
    <w:link w:val="FooterChar"/>
    <w:uiPriority w:val="99"/>
    <w:unhideWhenUsed/>
    <w:rsid w:val="007955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569"/>
  </w:style>
  <w:style w:type="paragraph" w:styleId="BodyText">
    <w:name w:val="Body Text"/>
    <w:basedOn w:val="Normal"/>
    <w:link w:val="BodyTextChar"/>
    <w:qFormat/>
    <w:rsid w:val="009C3064"/>
    <w:pPr>
      <w:spacing w:after="120" w:line="240" w:lineRule="auto"/>
      <w:jc w:val="both"/>
    </w:pPr>
    <w:rPr>
      <w:rFonts w:ascii="Calibri" w:eastAsia="Calibri" w:hAnsi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9C3064"/>
    <w:rPr>
      <w:rFonts w:ascii="Calibri" w:eastAsia="Calibri" w:hAnsi="Calibri" w:cs="Calibri"/>
      <w:lang w:eastAsia="en-GB"/>
    </w:rPr>
  </w:style>
  <w:style w:type="character" w:styleId="FootnoteReference">
    <w:name w:val="footnote reference"/>
    <w:semiHidden/>
    <w:rsid w:val="009C306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C3064"/>
    <w:pPr>
      <w:spacing w:after="0" w:line="240" w:lineRule="auto"/>
    </w:pPr>
    <w:rPr>
      <w:rFonts w:ascii="Arial" w:eastAsia="Calibri" w:hAnsi="Arial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C3064"/>
    <w:rPr>
      <w:rFonts w:ascii="Arial" w:eastAsia="Calibri" w:hAnsi="Arial" w:cs="Calibri"/>
      <w:sz w:val="20"/>
      <w:szCs w:val="20"/>
      <w:lang w:eastAsia="en-GB"/>
    </w:rPr>
  </w:style>
  <w:style w:type="paragraph" w:styleId="Title">
    <w:name w:val="Title"/>
    <w:basedOn w:val="Normal"/>
    <w:link w:val="TitleChar"/>
    <w:qFormat/>
    <w:rsid w:val="009C3064"/>
    <w:pPr>
      <w:spacing w:before="120" w:after="240" w:line="240" w:lineRule="auto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C3064"/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A1D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A1DCF"/>
    <w:rPr>
      <w:rFonts w:ascii="Calibri" w:eastAsia="Calibri" w:hAnsi="Calibri" w:cs="Calibri"/>
      <w:b/>
      <w:caps/>
      <w:color w:val="0070C0"/>
      <w:kern w:val="28"/>
      <w:lang w:eastAsia="de-DE"/>
    </w:rPr>
  </w:style>
  <w:style w:type="character" w:styleId="Hyperlink">
    <w:name w:val="Hyperlink"/>
    <w:basedOn w:val="DefaultParagraphFont"/>
    <w:uiPriority w:val="99"/>
    <w:unhideWhenUsed/>
    <w:rsid w:val="00F201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01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6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mu.s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openrisk-ppr.org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yke.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in.n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REGIONS AT THE POLES – input paper to arm</vt:lpstr>
      <vt:lpstr>IALA REGIONS AT THE POLES – input paper to arm</vt:lpstr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REGIONS AT THE POLES – input paper to arm</dc:title>
  <dc:subject/>
  <dc:creator>Stephen Bennett</dc:creator>
  <cp:keywords/>
  <dc:description/>
  <cp:lastModifiedBy>Kevin Gregory</cp:lastModifiedBy>
  <cp:revision>7</cp:revision>
  <dcterms:created xsi:type="dcterms:W3CDTF">2018-11-09T12:56:00Z</dcterms:created>
  <dcterms:modified xsi:type="dcterms:W3CDTF">2019-03-07T12:19:00Z</dcterms:modified>
</cp:coreProperties>
</file>